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8645" w14:textId="77777777" w:rsidR="006B0D8F" w:rsidRDefault="00E54F00" w:rsidP="006B0D8F">
      <w:pPr>
        <w:spacing w:after="0" w:line="245" w:lineRule="auto"/>
        <w:jc w:val="center"/>
        <w:rPr>
          <w:b/>
          <w:sz w:val="32"/>
          <w:szCs w:val="32"/>
        </w:rPr>
      </w:pPr>
      <w:r w:rsidRPr="007E76D6">
        <w:rPr>
          <w:b/>
          <w:sz w:val="32"/>
          <w:szCs w:val="32"/>
        </w:rPr>
        <w:t>G</w:t>
      </w:r>
      <w:r w:rsidR="00111C7D" w:rsidRPr="007E76D6">
        <w:rPr>
          <w:b/>
          <w:sz w:val="32"/>
          <w:szCs w:val="32"/>
        </w:rPr>
        <w:t xml:space="preserve">uidelines for </w:t>
      </w:r>
      <w:r w:rsidR="00A2552B" w:rsidRPr="007E76D6">
        <w:rPr>
          <w:b/>
          <w:sz w:val="32"/>
          <w:szCs w:val="32"/>
        </w:rPr>
        <w:t>E</w:t>
      </w:r>
      <w:r w:rsidR="00111C7D" w:rsidRPr="007E76D6">
        <w:rPr>
          <w:b/>
          <w:sz w:val="32"/>
          <w:szCs w:val="32"/>
        </w:rPr>
        <w:t xml:space="preserve">stablishing a Bioscience Program </w:t>
      </w:r>
    </w:p>
    <w:p w14:paraId="5DACF91D" w14:textId="1FF4D06C" w:rsidR="009B74D2" w:rsidRPr="007E76D6" w:rsidRDefault="006B0D8F" w:rsidP="006B0D8F">
      <w:pPr>
        <w:spacing w:line="245" w:lineRule="auto"/>
        <w:jc w:val="center"/>
        <w:rPr>
          <w:b/>
        </w:rPr>
      </w:pPr>
      <w:r>
        <w:rPr>
          <w:b/>
          <w:sz w:val="32"/>
          <w:szCs w:val="32"/>
        </w:rPr>
        <w:t>Research Emphasis Area</w:t>
      </w:r>
    </w:p>
    <w:p w14:paraId="4FDDB28A" w14:textId="4700F5B6" w:rsidR="00A863FB" w:rsidRPr="007E76D6" w:rsidRDefault="00A863FB" w:rsidP="006B0D8F">
      <w:pPr>
        <w:spacing w:line="245" w:lineRule="auto"/>
        <w:jc w:val="both"/>
      </w:pPr>
      <w:r w:rsidRPr="007E76D6">
        <w:t xml:space="preserve">The guiding principle of the </w:t>
      </w:r>
      <w:r w:rsidR="006B0D8F">
        <w:t>Research Emphasis Area</w:t>
      </w:r>
      <w:r w:rsidRPr="007E76D6">
        <w:t xml:space="preserve"> program is to </w:t>
      </w:r>
      <w:r w:rsidR="007453FC">
        <w:t xml:space="preserve">demonstrate to prospective graduate students </w:t>
      </w:r>
      <w:r w:rsidR="00937F13">
        <w:t>the breadth of research excellence that the Bioscience Program and the U of U campus has to offer. These Research Emphasis Areas will replace our outdated track system and is expected to facilitate recruitment of a broader base of graduate student applicants that span the diverse range of</w:t>
      </w:r>
      <w:r w:rsidR="00F2537A">
        <w:t xml:space="preserve"> </w:t>
      </w:r>
      <w:r w:rsidR="00F84EE7">
        <w:t xml:space="preserve">research </w:t>
      </w:r>
      <w:r w:rsidR="00F2537A">
        <w:t xml:space="preserve">program needs on our campus. It is also anticipated that these Research Emphasis Area will </w:t>
      </w:r>
      <w:r w:rsidRPr="007E76D6">
        <w:t xml:space="preserve">serve </w:t>
      </w:r>
      <w:r w:rsidR="00F2537A">
        <w:t>current</w:t>
      </w:r>
      <w:r w:rsidR="00F2537A" w:rsidRPr="007E76D6">
        <w:t xml:space="preserve"> </w:t>
      </w:r>
      <w:r w:rsidRPr="007E76D6">
        <w:t xml:space="preserve">Bioscience </w:t>
      </w:r>
      <w:r w:rsidR="00F2537A">
        <w:t xml:space="preserve">Program </w:t>
      </w:r>
      <w:r w:rsidRPr="007E76D6">
        <w:t xml:space="preserve">students and faculty, by creating unique opportunities for training, project and grant development, and interdepartmental collaboration. To this end, we </w:t>
      </w:r>
      <w:r w:rsidR="00A2552B" w:rsidRPr="007E76D6">
        <w:t xml:space="preserve">have instituted </w:t>
      </w:r>
      <w:r w:rsidRPr="007E76D6">
        <w:t xml:space="preserve">several guidelines to be met by faculty interested in establishing a </w:t>
      </w:r>
      <w:r w:rsidR="00744710">
        <w:t xml:space="preserve">Research </w:t>
      </w:r>
      <w:r w:rsidR="006B0D8F">
        <w:t>Emphasis Area</w:t>
      </w:r>
      <w:r w:rsidRPr="007E76D6">
        <w:t>.</w:t>
      </w:r>
    </w:p>
    <w:p w14:paraId="07172C48" w14:textId="40D80AFB" w:rsidR="00111C7D" w:rsidRPr="007E76D6" w:rsidRDefault="00111C7D" w:rsidP="006B0D8F">
      <w:pPr>
        <w:pStyle w:val="ListParagraph"/>
        <w:numPr>
          <w:ilvl w:val="0"/>
          <w:numId w:val="1"/>
        </w:numPr>
        <w:spacing w:line="245" w:lineRule="auto"/>
        <w:jc w:val="both"/>
      </w:pPr>
      <w:r w:rsidRPr="007E76D6">
        <w:rPr>
          <w:b/>
        </w:rPr>
        <w:t>Minimum number of members</w:t>
      </w:r>
      <w:r w:rsidR="00A863FB" w:rsidRPr="007E76D6">
        <w:t xml:space="preserve">. To ensure a critical mass of faculty, on the assumption that </w:t>
      </w:r>
      <w:r w:rsidR="00744710">
        <w:t xml:space="preserve">Research </w:t>
      </w:r>
      <w:r w:rsidR="006B0D8F">
        <w:t xml:space="preserve">Emphasis Areas </w:t>
      </w:r>
      <w:r w:rsidR="00A863FB" w:rsidRPr="007E76D6">
        <w:t xml:space="preserve">will both gain and lose members over the years, we require at least </w:t>
      </w:r>
      <w:r w:rsidR="00A863FB" w:rsidRPr="007E76D6">
        <w:rPr>
          <w:u w:val="single"/>
        </w:rPr>
        <w:t>10</w:t>
      </w:r>
      <w:r w:rsidR="00A863FB" w:rsidRPr="007E76D6">
        <w:t xml:space="preserve"> faculty, associated with either the Molecular Biology or Biological Chemistry Program.</w:t>
      </w:r>
      <w:r w:rsidR="00AB0ECE" w:rsidRPr="007E76D6">
        <w:t xml:space="preserve"> </w:t>
      </w:r>
      <w:r w:rsidR="008E7D18">
        <w:t xml:space="preserve">Note that individual faculty members are welcome to join multiple Emphasis Areas. </w:t>
      </w:r>
      <w:r w:rsidR="006B0D8F">
        <w:t xml:space="preserve">Research Emphasis Areas </w:t>
      </w:r>
      <w:r w:rsidR="000333E9" w:rsidRPr="007E76D6">
        <w:t xml:space="preserve">have the option of defining </w:t>
      </w:r>
      <w:r w:rsidR="00A2552B" w:rsidRPr="007E76D6">
        <w:t>sub-</w:t>
      </w:r>
      <w:r w:rsidR="000333E9" w:rsidRPr="007E76D6">
        <w:t>specialties within their group, with individual faculty members subdivided according to research interest.</w:t>
      </w:r>
      <w:r w:rsidR="00A2552B" w:rsidRPr="007E76D6">
        <w:t xml:space="preserve"> Each of these sub-specialties should be defined as </w:t>
      </w:r>
      <w:r w:rsidR="00052A63">
        <w:t xml:space="preserve">Research </w:t>
      </w:r>
      <w:r w:rsidR="00A2552B" w:rsidRPr="007E76D6">
        <w:t xml:space="preserve">Focus Groups. </w:t>
      </w:r>
    </w:p>
    <w:p w14:paraId="1F0A78F6" w14:textId="71D17CC5" w:rsidR="00AB0ECE" w:rsidRPr="007E76D6" w:rsidRDefault="00AB0ECE" w:rsidP="006B0D8F">
      <w:pPr>
        <w:pStyle w:val="ListParagraph"/>
        <w:numPr>
          <w:ilvl w:val="0"/>
          <w:numId w:val="1"/>
        </w:numPr>
        <w:spacing w:line="245" w:lineRule="auto"/>
        <w:jc w:val="both"/>
      </w:pPr>
      <w:r w:rsidRPr="007E76D6">
        <w:rPr>
          <w:b/>
        </w:rPr>
        <w:t>Web page</w:t>
      </w:r>
      <w:r w:rsidRPr="007E76D6">
        <w:t xml:space="preserve">. The </w:t>
      </w:r>
      <w:r w:rsidR="006B0D8F">
        <w:t>Research Emphasis Area</w:t>
      </w:r>
      <w:r w:rsidRPr="007E76D6">
        <w:t xml:space="preserve"> will be responsible for writing a description of </w:t>
      </w:r>
      <w:r w:rsidR="006B0D8F">
        <w:t xml:space="preserve">its members’ </w:t>
      </w:r>
      <w:r w:rsidRPr="007E76D6">
        <w:t xml:space="preserve">research interests and goals, </w:t>
      </w:r>
      <w:r w:rsidRPr="007E76D6">
        <w:rPr>
          <w:b/>
          <w:bCs/>
          <w:u w:val="single"/>
        </w:rPr>
        <w:t>optimized for web searching</w:t>
      </w:r>
      <w:r w:rsidRPr="007E76D6">
        <w:t>, and providing images (research-related</w:t>
      </w:r>
      <w:r w:rsidR="007D1D07" w:rsidRPr="007E76D6">
        <w:t>,</w:t>
      </w:r>
      <w:r w:rsidRPr="007E76D6">
        <w:t xml:space="preserve"> as well as photographs of </w:t>
      </w:r>
      <w:r w:rsidR="00744710">
        <w:t>trainees</w:t>
      </w:r>
      <w:r w:rsidRPr="007E76D6">
        <w:t>)</w:t>
      </w:r>
      <w:r w:rsidR="000333E9" w:rsidRPr="007E76D6">
        <w:t xml:space="preserve"> to post on their </w:t>
      </w:r>
      <w:r w:rsidR="00744710">
        <w:t xml:space="preserve">Research </w:t>
      </w:r>
      <w:r w:rsidR="006B0D8F">
        <w:t xml:space="preserve">Emphasis Area </w:t>
      </w:r>
      <w:r w:rsidR="000333E9" w:rsidRPr="007E76D6">
        <w:t xml:space="preserve">web page. The web page will be developed jointly with Program </w:t>
      </w:r>
      <w:r w:rsidR="00A2552B" w:rsidRPr="007E76D6">
        <w:t>Office staff</w:t>
      </w:r>
      <w:r w:rsidR="000333E9" w:rsidRPr="007E76D6">
        <w:t xml:space="preserve">, using a shared (but modifiable) template, and the </w:t>
      </w:r>
      <w:r w:rsidR="00744710">
        <w:t xml:space="preserve">Research </w:t>
      </w:r>
      <w:r w:rsidR="006B0D8F">
        <w:t xml:space="preserve">Emphasis Area </w:t>
      </w:r>
      <w:r w:rsidR="00744710">
        <w:t>members are</w:t>
      </w:r>
      <w:r w:rsidR="000333E9" w:rsidRPr="007E76D6">
        <w:t xml:space="preserve"> responsible for approving and regularly updating the page.</w:t>
      </w:r>
      <w:r w:rsidR="007D1D07" w:rsidRPr="007E76D6">
        <w:t xml:space="preserve"> It is recommended that the web page be updated once a year in early </w:t>
      </w:r>
      <w:r w:rsidR="00A2552B" w:rsidRPr="007E76D6">
        <w:t>S</w:t>
      </w:r>
      <w:r w:rsidR="007D1D07" w:rsidRPr="007E76D6">
        <w:t>ummer in preparation for student</w:t>
      </w:r>
      <w:r w:rsidR="00A2552B" w:rsidRPr="007E76D6">
        <w:t xml:space="preserve">s </w:t>
      </w:r>
      <w:r w:rsidR="007D1D07" w:rsidRPr="007E76D6">
        <w:t>applying to the Bioscience Programs</w:t>
      </w:r>
      <w:r w:rsidR="00A2552B" w:rsidRPr="007E76D6">
        <w:t xml:space="preserve"> in the corresponding Fall semester</w:t>
      </w:r>
      <w:r w:rsidR="007D1D07" w:rsidRPr="007E76D6">
        <w:t>.</w:t>
      </w:r>
    </w:p>
    <w:p w14:paraId="6FCF2EAF" w14:textId="6C22286D" w:rsidR="00A863FB" w:rsidRPr="007E76D6" w:rsidRDefault="00A863FB" w:rsidP="006B0D8F">
      <w:pPr>
        <w:pStyle w:val="ListParagraph"/>
        <w:numPr>
          <w:ilvl w:val="0"/>
          <w:numId w:val="1"/>
        </w:numPr>
        <w:spacing w:line="245" w:lineRule="auto"/>
        <w:jc w:val="both"/>
      </w:pPr>
      <w:bookmarkStart w:id="0" w:name="_Hlk72732388"/>
      <w:r w:rsidRPr="007E76D6">
        <w:rPr>
          <w:b/>
        </w:rPr>
        <w:t>Teaching</w:t>
      </w:r>
      <w:r w:rsidRPr="007E76D6">
        <w:t>. A</w:t>
      </w:r>
      <w:r w:rsidR="00621C9F">
        <w:t xml:space="preserve"> fundamental role</w:t>
      </w:r>
      <w:r w:rsidR="00621C9F" w:rsidRPr="007E76D6">
        <w:t xml:space="preserve"> </w:t>
      </w:r>
      <w:r w:rsidRPr="007E76D6">
        <w:t xml:space="preserve">of the </w:t>
      </w:r>
      <w:r w:rsidR="006B0D8F">
        <w:t xml:space="preserve">Research Emphasis Areas </w:t>
      </w:r>
      <w:r w:rsidR="000A2454">
        <w:t xml:space="preserve">in the Bioscience Program </w:t>
      </w:r>
      <w:r w:rsidRPr="007E76D6">
        <w:t xml:space="preserve">is </w:t>
      </w:r>
      <w:r w:rsidR="00621C9F">
        <w:t xml:space="preserve">to </w:t>
      </w:r>
      <w:r w:rsidRPr="007E76D6">
        <w:t>train and recruit incoming students</w:t>
      </w:r>
      <w:r w:rsidR="000A2454">
        <w:t xml:space="preserve">. Each </w:t>
      </w:r>
      <w:r w:rsidR="00744710">
        <w:t xml:space="preserve">Research </w:t>
      </w:r>
      <w:r w:rsidR="006B0D8F">
        <w:t xml:space="preserve">Emphasis Area </w:t>
      </w:r>
      <w:r w:rsidR="000A2454">
        <w:t xml:space="preserve">is therefore responsible for providing </w:t>
      </w:r>
      <w:r w:rsidR="000A2454">
        <w:rPr>
          <w:b/>
          <w:u w:val="single"/>
        </w:rPr>
        <w:t>at least one course</w:t>
      </w:r>
      <w:r w:rsidR="000A2454">
        <w:t xml:space="preserve"> suitable for first-year students, either Selective or Elective</w:t>
      </w:r>
      <w:r w:rsidRPr="007E76D6">
        <w:t xml:space="preserve">, </w:t>
      </w:r>
      <w:r w:rsidRPr="007E76D6">
        <w:rPr>
          <w:b/>
          <w:bCs/>
          <w:u w:val="single"/>
        </w:rPr>
        <w:t>to be offered every year</w:t>
      </w:r>
      <w:r w:rsidRPr="007E76D6">
        <w:t>.</w:t>
      </w:r>
      <w:r w:rsidR="002D0BB3" w:rsidRPr="007E76D6">
        <w:t xml:space="preserve"> </w:t>
      </w:r>
      <w:r w:rsidR="008331C3">
        <w:t>Temporary e</w:t>
      </w:r>
      <w:r w:rsidR="000A2454">
        <w:t xml:space="preserve">xceptions to this requirement may be made </w:t>
      </w:r>
      <w:r w:rsidR="00754294">
        <w:t>at</w:t>
      </w:r>
      <w:r w:rsidR="000A2454">
        <w:t xml:space="preserve"> the discretion of the Program Directors, particularly for </w:t>
      </w:r>
      <w:r w:rsidR="00A64059">
        <w:t xml:space="preserve">newer </w:t>
      </w:r>
      <w:r w:rsidR="000A2454">
        <w:t xml:space="preserve">groups still building a </w:t>
      </w:r>
      <w:r w:rsidR="00A64059">
        <w:t>student cohort</w:t>
      </w:r>
      <w:r w:rsidR="000A2454">
        <w:t xml:space="preserve">. </w:t>
      </w:r>
      <w:r w:rsidR="007D1D07" w:rsidRPr="007E76D6">
        <w:t>Any Selective and Elective courses affiliated with</w:t>
      </w:r>
      <w:r w:rsidR="002D0BB3" w:rsidRPr="007E76D6">
        <w:t xml:space="preserve"> the </w:t>
      </w:r>
      <w:r w:rsidR="00744710">
        <w:t xml:space="preserve">Research </w:t>
      </w:r>
      <w:r w:rsidR="006B0D8F">
        <w:t>Emphasis Area</w:t>
      </w:r>
      <w:r w:rsidR="00A2552B" w:rsidRPr="007E76D6">
        <w:t>, including semester taught,</w:t>
      </w:r>
      <w:r w:rsidR="007D1D07" w:rsidRPr="007E76D6">
        <w:t xml:space="preserve"> must also be included</w:t>
      </w:r>
      <w:r w:rsidR="002D0BB3" w:rsidRPr="007E76D6">
        <w:t xml:space="preserve"> </w:t>
      </w:r>
      <w:r w:rsidR="007D1D07" w:rsidRPr="007E76D6">
        <w:t xml:space="preserve">on the </w:t>
      </w:r>
      <w:r w:rsidR="002D0BB3" w:rsidRPr="007E76D6">
        <w:t>web page.</w:t>
      </w:r>
    </w:p>
    <w:p w14:paraId="7A3EEE0D" w14:textId="08D4B794" w:rsidR="00111C7D" w:rsidRPr="007E76D6" w:rsidRDefault="00111C7D" w:rsidP="006B0D8F">
      <w:pPr>
        <w:pStyle w:val="ListParagraph"/>
        <w:numPr>
          <w:ilvl w:val="0"/>
          <w:numId w:val="1"/>
        </w:numPr>
        <w:spacing w:line="245" w:lineRule="auto"/>
        <w:jc w:val="both"/>
      </w:pPr>
      <w:bookmarkStart w:id="1" w:name="_Hlk87350876"/>
      <w:bookmarkEnd w:id="0"/>
      <w:r w:rsidRPr="007E76D6">
        <w:rPr>
          <w:b/>
        </w:rPr>
        <w:t>Events</w:t>
      </w:r>
      <w:r w:rsidR="00A863FB" w:rsidRPr="007E76D6">
        <w:t>.</w:t>
      </w:r>
      <w:r w:rsidRPr="007E76D6">
        <w:t xml:space="preserve"> </w:t>
      </w:r>
      <w:r w:rsidR="006B0D8F">
        <w:t>Research Emphasis Areas</w:t>
      </w:r>
      <w:r w:rsidR="00A863FB" w:rsidRPr="007E76D6">
        <w:t xml:space="preserve"> are expected to r</w:t>
      </w:r>
      <w:r w:rsidRPr="007E76D6">
        <w:t>egular</w:t>
      </w:r>
      <w:r w:rsidR="00052A63">
        <w:t xml:space="preserve">ly host (and publicize to the Bioscience community) </w:t>
      </w:r>
      <w:r w:rsidRPr="007E76D6">
        <w:t>seminars</w:t>
      </w:r>
      <w:r w:rsidR="00A2552B" w:rsidRPr="007E76D6">
        <w:t>, research in progress</w:t>
      </w:r>
      <w:r w:rsidR="00052A63">
        <w:t xml:space="preserve"> presentations</w:t>
      </w:r>
      <w:r w:rsidR="00A2552B" w:rsidRPr="007E76D6">
        <w:t xml:space="preserve"> (RIPs)</w:t>
      </w:r>
      <w:r w:rsidRPr="007E76D6">
        <w:t xml:space="preserve"> and/or retreats/symposia</w:t>
      </w:r>
      <w:r w:rsidR="00A863FB" w:rsidRPr="007E76D6">
        <w:t xml:space="preserve">, </w:t>
      </w:r>
      <w:r w:rsidR="00052A63">
        <w:t xml:space="preserve">the latter of </w:t>
      </w:r>
      <w:r w:rsidR="00A863FB" w:rsidRPr="007E76D6">
        <w:t xml:space="preserve">which are a particularly important resource for students to meet and interact with their </w:t>
      </w:r>
      <w:r w:rsidR="002F753C">
        <w:t xml:space="preserve">Research </w:t>
      </w:r>
      <w:r w:rsidR="006B0D8F">
        <w:t xml:space="preserve">Emphasis Area </w:t>
      </w:r>
      <w:r w:rsidR="00A863FB" w:rsidRPr="007E76D6">
        <w:t xml:space="preserve">colleagues. </w:t>
      </w:r>
      <w:r w:rsidR="002F753C">
        <w:t xml:space="preserve">Research </w:t>
      </w:r>
      <w:r w:rsidR="006B0D8F">
        <w:t xml:space="preserve">Emphasis Areas </w:t>
      </w:r>
      <w:r w:rsidR="00A863FB" w:rsidRPr="007E76D6">
        <w:t xml:space="preserve">can have considerable flexibility in organizing their events, depending on the </w:t>
      </w:r>
      <w:r w:rsidR="007B2948" w:rsidRPr="007E76D6">
        <w:t>number</w:t>
      </w:r>
      <w:r w:rsidR="00A863FB" w:rsidRPr="007E76D6">
        <w:t xml:space="preserve"> of the</w:t>
      </w:r>
      <w:r w:rsidR="007B2948" w:rsidRPr="007E76D6">
        <w:t>ir</w:t>
      </w:r>
      <w:r w:rsidR="00A863FB" w:rsidRPr="007E76D6">
        <w:t xml:space="preserve"> faculty</w:t>
      </w:r>
      <w:r w:rsidR="007B2948" w:rsidRPr="007E76D6">
        <w:t>, but should meet at least on a quarterly basis.</w:t>
      </w:r>
    </w:p>
    <w:bookmarkEnd w:id="1"/>
    <w:p w14:paraId="01554FE5" w14:textId="57E33ED0" w:rsidR="00A2552B" w:rsidRDefault="006B0D8F" w:rsidP="006B0D8F">
      <w:pPr>
        <w:pStyle w:val="ListParagraph"/>
        <w:numPr>
          <w:ilvl w:val="0"/>
          <w:numId w:val="1"/>
        </w:numPr>
        <w:spacing w:line="245" w:lineRule="auto"/>
        <w:jc w:val="both"/>
      </w:pPr>
      <w:r>
        <w:rPr>
          <w:b/>
        </w:rPr>
        <w:t>Research Emphasis Area</w:t>
      </w:r>
      <w:r w:rsidR="00A863FB" w:rsidRPr="007E76D6">
        <w:rPr>
          <w:b/>
        </w:rPr>
        <w:t xml:space="preserve"> leadership</w:t>
      </w:r>
      <w:r w:rsidR="00A863FB" w:rsidRPr="007E76D6">
        <w:t xml:space="preserve">. One or two faculty per </w:t>
      </w:r>
      <w:r w:rsidR="002F753C">
        <w:t xml:space="preserve">Research </w:t>
      </w:r>
      <w:r>
        <w:t xml:space="preserve">Emphasis Area </w:t>
      </w:r>
      <w:r w:rsidR="00A863FB" w:rsidRPr="007E76D6">
        <w:t>must be designated as official liaisons to the Bioscience Program</w:t>
      </w:r>
      <w:r w:rsidR="002F753C">
        <w:t xml:space="preserve"> Office</w:t>
      </w:r>
      <w:r w:rsidR="00A863FB" w:rsidRPr="007E76D6">
        <w:t xml:space="preserve">, in charge of developing and maintaining the </w:t>
      </w:r>
      <w:r w:rsidR="002F753C">
        <w:t xml:space="preserve">Research </w:t>
      </w:r>
      <w:r>
        <w:t xml:space="preserve">Emphasis Area </w:t>
      </w:r>
      <w:r w:rsidR="00A863FB" w:rsidRPr="007E76D6">
        <w:t>web</w:t>
      </w:r>
      <w:r w:rsidR="007D1D07" w:rsidRPr="007E76D6">
        <w:t xml:space="preserve"> page </w:t>
      </w:r>
      <w:r w:rsidR="00A863FB" w:rsidRPr="007E76D6">
        <w:t xml:space="preserve">(with assistance from Bioscience Program staff), reporting on changes to membership, and ensuring compliance with </w:t>
      </w:r>
      <w:r w:rsidR="007D1D07" w:rsidRPr="007E76D6">
        <w:t xml:space="preserve">all of the above </w:t>
      </w:r>
      <w:r w:rsidR="00A863FB" w:rsidRPr="007E76D6">
        <w:t xml:space="preserve">guidelines. </w:t>
      </w:r>
    </w:p>
    <w:p w14:paraId="4B90C69B" w14:textId="33FF0B95" w:rsidR="00A2552B" w:rsidRDefault="00DA01C7" w:rsidP="006B0D8F">
      <w:pPr>
        <w:spacing w:line="245" w:lineRule="auto"/>
        <w:jc w:val="both"/>
      </w:pPr>
      <w:r>
        <w:t>If an Emphasis Area does not maintain these standards – in particular, if the overall faculty membership drops below 10, the web page is not being maintained and updated, and courses are not being offered regularly – it will be removed. Emphasis Area faculty will be notified ahead of time, and may reapply at a later date.</w:t>
      </w:r>
    </w:p>
    <w:p w14:paraId="44C5690B" w14:textId="28245F7C" w:rsidR="007E76D6" w:rsidRDefault="006B0D8F" w:rsidP="00084948">
      <w:pPr>
        <w:spacing w:line="245" w:lineRule="auto"/>
        <w:jc w:val="both"/>
      </w:pPr>
      <w:r>
        <w:t>Research Emphasis Area</w:t>
      </w:r>
      <w:r w:rsidR="00A2552B">
        <w:t xml:space="preserve"> suggestions will be subject to Bioscience Program Director approval. </w:t>
      </w:r>
      <w:r w:rsidR="0006245C">
        <w:t>The a</w:t>
      </w:r>
      <w:r w:rsidR="00A2552B">
        <w:t>pplication</w:t>
      </w:r>
      <w:r w:rsidR="0006245C">
        <w:t xml:space="preserve"> form</w:t>
      </w:r>
      <w:r w:rsidR="00A2552B">
        <w:t xml:space="preserve"> for </w:t>
      </w:r>
      <w:r w:rsidR="0006245C">
        <w:t xml:space="preserve">establishing a </w:t>
      </w:r>
      <w:r w:rsidR="002F753C">
        <w:t xml:space="preserve">Research </w:t>
      </w:r>
      <w:r>
        <w:t>Emphasis Area</w:t>
      </w:r>
      <w:r w:rsidR="00A2552B">
        <w:t xml:space="preserve"> </w:t>
      </w:r>
      <w:r w:rsidR="0006245C">
        <w:t xml:space="preserve">is on the next page, </w:t>
      </w:r>
      <w:r w:rsidR="00A2552B">
        <w:t xml:space="preserve">and should be submitted to </w:t>
      </w:r>
      <w:bookmarkStart w:id="2" w:name="_Hlk72495856"/>
      <w:r w:rsidR="00A2552B">
        <w:t>Charlie Murtaugh (</w:t>
      </w:r>
      <w:hyperlink r:id="rId6" w:history="1">
        <w:r w:rsidR="00A2552B" w:rsidRPr="002076F4">
          <w:rPr>
            <w:rStyle w:val="Hyperlink"/>
          </w:rPr>
          <w:t>murtaugh@genetics.utah.edu</w:t>
        </w:r>
      </w:hyperlink>
      <w:r w:rsidR="00A2552B">
        <w:t>) and Bethany Buck-Koehntop (</w:t>
      </w:r>
      <w:hyperlink r:id="rId7" w:history="1">
        <w:r w:rsidR="00A2552B" w:rsidRPr="002076F4">
          <w:rPr>
            <w:rStyle w:val="Hyperlink"/>
          </w:rPr>
          <w:t>koehntop@chem.utah.edu</w:t>
        </w:r>
      </w:hyperlink>
      <w:r w:rsidR="00A2552B">
        <w:t xml:space="preserve">), </w:t>
      </w:r>
      <w:bookmarkEnd w:id="2"/>
      <w:r w:rsidR="00A2552B">
        <w:t>MB and BC Program Directors, respectively</w:t>
      </w:r>
      <w:r w:rsidR="00D37C7B">
        <w:t xml:space="preserve">, by </w:t>
      </w:r>
      <w:bookmarkStart w:id="3" w:name="_GoBack"/>
      <w:r w:rsidR="00D37C7B" w:rsidRPr="00D37C7B">
        <w:rPr>
          <w:b/>
        </w:rPr>
        <w:t>Wednesday, December 15</w:t>
      </w:r>
      <w:bookmarkEnd w:id="3"/>
      <w:r w:rsidR="00D37C7B">
        <w:t>.</w:t>
      </w:r>
    </w:p>
    <w:tbl>
      <w:tblPr>
        <w:tblStyle w:val="TableGrid"/>
        <w:tblpPr w:leftFromText="180" w:rightFromText="180" w:vertAnchor="page" w:tblpX="-815" w:tblpY="2071"/>
        <w:tblW w:w="10980" w:type="dxa"/>
        <w:tblLook w:val="04A0" w:firstRow="1" w:lastRow="0" w:firstColumn="1" w:lastColumn="0" w:noHBand="0" w:noVBand="1"/>
      </w:tblPr>
      <w:tblGrid>
        <w:gridCol w:w="5575"/>
        <w:gridCol w:w="5405"/>
      </w:tblGrid>
      <w:tr w:rsidR="007E76D6" w14:paraId="56F5263B" w14:textId="77777777" w:rsidTr="007E76D6">
        <w:trPr>
          <w:trHeight w:val="295"/>
        </w:trPr>
        <w:tc>
          <w:tcPr>
            <w:tcW w:w="10980" w:type="dxa"/>
            <w:gridSpan w:val="2"/>
            <w:shd w:val="clear" w:color="auto" w:fill="000000" w:themeFill="text1"/>
          </w:tcPr>
          <w:p w14:paraId="71F4C9F8" w14:textId="5E9CB9DF" w:rsidR="007E76D6" w:rsidRPr="00DE387E" w:rsidRDefault="006B0D8F" w:rsidP="006B0D8F">
            <w:pPr>
              <w:spacing w:line="245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Research Emphasis Area</w:t>
            </w:r>
            <w:r w:rsidR="007E76D6" w:rsidRPr="00DE387E">
              <w:rPr>
                <w:b/>
                <w:color w:val="FFFFFF" w:themeColor="background1"/>
              </w:rPr>
              <w:t xml:space="preserve"> title</w:t>
            </w:r>
          </w:p>
        </w:tc>
      </w:tr>
      <w:tr w:rsidR="007E76D6" w14:paraId="46B37E84" w14:textId="77777777" w:rsidTr="003E719A">
        <w:trPr>
          <w:trHeight w:val="1127"/>
        </w:trPr>
        <w:tc>
          <w:tcPr>
            <w:tcW w:w="10980" w:type="dxa"/>
            <w:gridSpan w:val="2"/>
          </w:tcPr>
          <w:p w14:paraId="15C87815" w14:textId="77777777" w:rsidR="007E76D6" w:rsidRDefault="007E76D6" w:rsidP="006B0D8F">
            <w:pPr>
              <w:spacing w:line="245" w:lineRule="auto"/>
            </w:pPr>
          </w:p>
        </w:tc>
      </w:tr>
      <w:tr w:rsidR="007E76D6" w14:paraId="589A5480" w14:textId="77777777" w:rsidTr="007E76D6">
        <w:trPr>
          <w:trHeight w:val="295"/>
        </w:trPr>
        <w:tc>
          <w:tcPr>
            <w:tcW w:w="10980" w:type="dxa"/>
            <w:gridSpan w:val="2"/>
            <w:shd w:val="clear" w:color="auto" w:fill="0D0D0D" w:themeFill="text1" w:themeFillTint="F2"/>
          </w:tcPr>
          <w:p w14:paraId="6F097354" w14:textId="77777777" w:rsidR="007E76D6" w:rsidRPr="00DE387E" w:rsidRDefault="007E76D6" w:rsidP="006B0D8F">
            <w:pPr>
              <w:spacing w:line="245" w:lineRule="auto"/>
              <w:jc w:val="center"/>
              <w:rPr>
                <w:b/>
                <w:color w:val="FFFFFF" w:themeColor="background1"/>
              </w:rPr>
            </w:pPr>
            <w:r w:rsidRPr="00DE387E">
              <w:rPr>
                <w:b/>
                <w:color w:val="FFFFFF" w:themeColor="background1"/>
              </w:rPr>
              <w:t xml:space="preserve">Members (please indicate who will serve as liaison(s) to Bioscience </w:t>
            </w:r>
            <w:r>
              <w:rPr>
                <w:b/>
                <w:color w:val="FFFFFF" w:themeColor="background1"/>
              </w:rPr>
              <w:t>Program O</w:t>
            </w:r>
            <w:r w:rsidRPr="00DE387E">
              <w:rPr>
                <w:b/>
                <w:color w:val="FFFFFF" w:themeColor="background1"/>
              </w:rPr>
              <w:t>ffice</w:t>
            </w:r>
          </w:p>
        </w:tc>
      </w:tr>
      <w:tr w:rsidR="007E76D6" w14:paraId="73664740" w14:textId="77777777" w:rsidTr="007E76D6">
        <w:trPr>
          <w:trHeight w:val="295"/>
        </w:trPr>
        <w:tc>
          <w:tcPr>
            <w:tcW w:w="5575" w:type="dxa"/>
            <w:shd w:val="clear" w:color="auto" w:fill="D9D9D9" w:themeFill="background1" w:themeFillShade="D9"/>
          </w:tcPr>
          <w:p w14:paraId="33A89D6C" w14:textId="77777777" w:rsidR="007E76D6" w:rsidRDefault="007E76D6" w:rsidP="006B0D8F">
            <w:pPr>
              <w:spacing w:line="245" w:lineRule="auto"/>
            </w:pPr>
            <w:r>
              <w:t>Name</w:t>
            </w:r>
          </w:p>
        </w:tc>
        <w:tc>
          <w:tcPr>
            <w:tcW w:w="5405" w:type="dxa"/>
            <w:shd w:val="clear" w:color="auto" w:fill="D9D9D9" w:themeFill="background1" w:themeFillShade="D9"/>
          </w:tcPr>
          <w:p w14:paraId="66AC19CA" w14:textId="77777777" w:rsidR="007E76D6" w:rsidRDefault="007E76D6" w:rsidP="006B0D8F">
            <w:pPr>
              <w:spacing w:line="245" w:lineRule="auto"/>
            </w:pPr>
            <w:r>
              <w:t>Email address</w:t>
            </w:r>
          </w:p>
        </w:tc>
      </w:tr>
      <w:tr w:rsidR="007E76D6" w14:paraId="6CAB5C37" w14:textId="77777777" w:rsidTr="007E76D6">
        <w:trPr>
          <w:trHeight w:val="295"/>
        </w:trPr>
        <w:tc>
          <w:tcPr>
            <w:tcW w:w="5575" w:type="dxa"/>
            <w:tcBorders>
              <w:bottom w:val="nil"/>
            </w:tcBorders>
          </w:tcPr>
          <w:p w14:paraId="35C85F88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bottom w:val="nil"/>
            </w:tcBorders>
          </w:tcPr>
          <w:p w14:paraId="6305B2DB" w14:textId="77777777" w:rsidR="007E76D6" w:rsidRDefault="007E76D6" w:rsidP="006B0D8F">
            <w:pPr>
              <w:spacing w:line="245" w:lineRule="auto"/>
            </w:pPr>
          </w:p>
        </w:tc>
      </w:tr>
      <w:tr w:rsidR="007E76D6" w14:paraId="2772F8EB" w14:textId="77777777" w:rsidTr="007E76D6">
        <w:trPr>
          <w:trHeight w:val="295"/>
        </w:trPr>
        <w:tc>
          <w:tcPr>
            <w:tcW w:w="5575" w:type="dxa"/>
            <w:tcBorders>
              <w:top w:val="nil"/>
              <w:bottom w:val="nil"/>
            </w:tcBorders>
          </w:tcPr>
          <w:p w14:paraId="04FD8FF6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  <w:bottom w:val="nil"/>
            </w:tcBorders>
          </w:tcPr>
          <w:p w14:paraId="0E888C17" w14:textId="77777777" w:rsidR="007E76D6" w:rsidRDefault="007E76D6" w:rsidP="006B0D8F">
            <w:pPr>
              <w:spacing w:line="245" w:lineRule="auto"/>
            </w:pPr>
          </w:p>
        </w:tc>
      </w:tr>
      <w:tr w:rsidR="007E76D6" w14:paraId="6AF064A1" w14:textId="77777777" w:rsidTr="007E76D6">
        <w:trPr>
          <w:trHeight w:val="295"/>
        </w:trPr>
        <w:tc>
          <w:tcPr>
            <w:tcW w:w="5575" w:type="dxa"/>
            <w:tcBorders>
              <w:top w:val="nil"/>
              <w:bottom w:val="nil"/>
            </w:tcBorders>
          </w:tcPr>
          <w:p w14:paraId="00C40972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  <w:bottom w:val="nil"/>
            </w:tcBorders>
          </w:tcPr>
          <w:p w14:paraId="7BAB051F" w14:textId="77777777" w:rsidR="007E76D6" w:rsidRDefault="007E76D6" w:rsidP="006B0D8F">
            <w:pPr>
              <w:spacing w:line="245" w:lineRule="auto"/>
            </w:pPr>
          </w:p>
        </w:tc>
      </w:tr>
      <w:tr w:rsidR="007E76D6" w14:paraId="3533F097" w14:textId="77777777" w:rsidTr="007E76D6">
        <w:trPr>
          <w:trHeight w:val="295"/>
        </w:trPr>
        <w:tc>
          <w:tcPr>
            <w:tcW w:w="5575" w:type="dxa"/>
            <w:tcBorders>
              <w:top w:val="nil"/>
              <w:bottom w:val="nil"/>
            </w:tcBorders>
          </w:tcPr>
          <w:p w14:paraId="23516F4C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  <w:bottom w:val="nil"/>
            </w:tcBorders>
          </w:tcPr>
          <w:p w14:paraId="0627855D" w14:textId="77777777" w:rsidR="007E76D6" w:rsidRDefault="007E76D6" w:rsidP="006B0D8F">
            <w:pPr>
              <w:spacing w:line="245" w:lineRule="auto"/>
            </w:pPr>
          </w:p>
        </w:tc>
      </w:tr>
      <w:tr w:rsidR="007E76D6" w14:paraId="4CA2FEF9" w14:textId="77777777" w:rsidTr="007E76D6">
        <w:trPr>
          <w:trHeight w:val="295"/>
        </w:trPr>
        <w:tc>
          <w:tcPr>
            <w:tcW w:w="5575" w:type="dxa"/>
            <w:tcBorders>
              <w:top w:val="nil"/>
              <w:bottom w:val="nil"/>
            </w:tcBorders>
          </w:tcPr>
          <w:p w14:paraId="24A1A65A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  <w:bottom w:val="nil"/>
            </w:tcBorders>
          </w:tcPr>
          <w:p w14:paraId="687787D6" w14:textId="77777777" w:rsidR="007E76D6" w:rsidRDefault="007E76D6" w:rsidP="006B0D8F">
            <w:pPr>
              <w:spacing w:line="245" w:lineRule="auto"/>
            </w:pPr>
          </w:p>
        </w:tc>
      </w:tr>
      <w:tr w:rsidR="007E76D6" w14:paraId="50328B38" w14:textId="77777777" w:rsidTr="007E76D6">
        <w:trPr>
          <w:trHeight w:val="295"/>
        </w:trPr>
        <w:tc>
          <w:tcPr>
            <w:tcW w:w="5575" w:type="dxa"/>
            <w:tcBorders>
              <w:top w:val="nil"/>
              <w:bottom w:val="nil"/>
            </w:tcBorders>
          </w:tcPr>
          <w:p w14:paraId="241C7551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  <w:bottom w:val="nil"/>
            </w:tcBorders>
          </w:tcPr>
          <w:p w14:paraId="72CD7C9D" w14:textId="77777777" w:rsidR="007E76D6" w:rsidRDefault="007E76D6" w:rsidP="006B0D8F">
            <w:pPr>
              <w:spacing w:line="245" w:lineRule="auto"/>
            </w:pPr>
          </w:p>
        </w:tc>
      </w:tr>
      <w:tr w:rsidR="007E76D6" w14:paraId="40933E19" w14:textId="77777777" w:rsidTr="007E76D6">
        <w:trPr>
          <w:trHeight w:val="295"/>
        </w:trPr>
        <w:tc>
          <w:tcPr>
            <w:tcW w:w="5575" w:type="dxa"/>
            <w:tcBorders>
              <w:top w:val="nil"/>
              <w:bottom w:val="nil"/>
            </w:tcBorders>
          </w:tcPr>
          <w:p w14:paraId="3E13CAAC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  <w:bottom w:val="nil"/>
            </w:tcBorders>
          </w:tcPr>
          <w:p w14:paraId="1852EE78" w14:textId="77777777" w:rsidR="007E76D6" w:rsidRDefault="007E76D6" w:rsidP="006B0D8F">
            <w:pPr>
              <w:spacing w:line="245" w:lineRule="auto"/>
            </w:pPr>
          </w:p>
        </w:tc>
      </w:tr>
      <w:tr w:rsidR="007E76D6" w14:paraId="4169A8C0" w14:textId="77777777" w:rsidTr="007E76D6">
        <w:trPr>
          <w:trHeight w:val="295"/>
        </w:trPr>
        <w:tc>
          <w:tcPr>
            <w:tcW w:w="5575" w:type="dxa"/>
            <w:tcBorders>
              <w:top w:val="nil"/>
              <w:bottom w:val="nil"/>
            </w:tcBorders>
          </w:tcPr>
          <w:p w14:paraId="6BC20A04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  <w:bottom w:val="nil"/>
            </w:tcBorders>
          </w:tcPr>
          <w:p w14:paraId="0E07197E" w14:textId="77777777" w:rsidR="007E76D6" w:rsidRDefault="007E76D6" w:rsidP="006B0D8F">
            <w:pPr>
              <w:spacing w:line="245" w:lineRule="auto"/>
            </w:pPr>
          </w:p>
        </w:tc>
      </w:tr>
      <w:tr w:rsidR="007E76D6" w14:paraId="3B094ACC" w14:textId="77777777" w:rsidTr="007E76D6">
        <w:trPr>
          <w:trHeight w:val="295"/>
        </w:trPr>
        <w:tc>
          <w:tcPr>
            <w:tcW w:w="5575" w:type="dxa"/>
            <w:tcBorders>
              <w:top w:val="nil"/>
              <w:bottom w:val="nil"/>
            </w:tcBorders>
          </w:tcPr>
          <w:p w14:paraId="0D7BAD83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  <w:bottom w:val="nil"/>
            </w:tcBorders>
          </w:tcPr>
          <w:p w14:paraId="5CBC334F" w14:textId="77777777" w:rsidR="007E76D6" w:rsidRDefault="007E76D6" w:rsidP="006B0D8F">
            <w:pPr>
              <w:spacing w:line="245" w:lineRule="auto"/>
            </w:pPr>
          </w:p>
        </w:tc>
      </w:tr>
      <w:tr w:rsidR="007E76D6" w14:paraId="3F19A58F" w14:textId="77777777" w:rsidTr="007E76D6">
        <w:trPr>
          <w:trHeight w:val="295"/>
        </w:trPr>
        <w:tc>
          <w:tcPr>
            <w:tcW w:w="5575" w:type="dxa"/>
            <w:tcBorders>
              <w:top w:val="nil"/>
              <w:bottom w:val="nil"/>
            </w:tcBorders>
          </w:tcPr>
          <w:p w14:paraId="6E873991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  <w:bottom w:val="nil"/>
            </w:tcBorders>
          </w:tcPr>
          <w:p w14:paraId="54B85820" w14:textId="77777777" w:rsidR="007E76D6" w:rsidRDefault="007E76D6" w:rsidP="006B0D8F">
            <w:pPr>
              <w:spacing w:line="245" w:lineRule="auto"/>
            </w:pPr>
          </w:p>
        </w:tc>
      </w:tr>
      <w:tr w:rsidR="007E76D6" w14:paraId="55F91CD2" w14:textId="77777777" w:rsidTr="003E719A">
        <w:trPr>
          <w:trHeight w:val="68"/>
        </w:trPr>
        <w:tc>
          <w:tcPr>
            <w:tcW w:w="5575" w:type="dxa"/>
            <w:tcBorders>
              <w:top w:val="nil"/>
            </w:tcBorders>
          </w:tcPr>
          <w:p w14:paraId="55F121EF" w14:textId="77777777" w:rsidR="007E76D6" w:rsidRDefault="007E76D6" w:rsidP="006B0D8F">
            <w:pPr>
              <w:spacing w:line="245" w:lineRule="auto"/>
            </w:pPr>
          </w:p>
        </w:tc>
        <w:tc>
          <w:tcPr>
            <w:tcW w:w="5405" w:type="dxa"/>
            <w:tcBorders>
              <w:top w:val="nil"/>
            </w:tcBorders>
          </w:tcPr>
          <w:p w14:paraId="1EAFB680" w14:textId="77777777" w:rsidR="007E76D6" w:rsidRDefault="007E76D6" w:rsidP="006B0D8F">
            <w:pPr>
              <w:spacing w:line="245" w:lineRule="auto"/>
            </w:pPr>
          </w:p>
        </w:tc>
      </w:tr>
      <w:tr w:rsidR="007E76D6" w14:paraId="60BC5A11" w14:textId="77777777" w:rsidTr="007E76D6">
        <w:trPr>
          <w:trHeight w:val="279"/>
        </w:trPr>
        <w:tc>
          <w:tcPr>
            <w:tcW w:w="10980" w:type="dxa"/>
            <w:gridSpan w:val="2"/>
            <w:shd w:val="clear" w:color="auto" w:fill="0D0D0D" w:themeFill="text1" w:themeFillTint="F2"/>
          </w:tcPr>
          <w:p w14:paraId="50D399B3" w14:textId="77777777" w:rsidR="007E76D6" w:rsidRPr="00DE387E" w:rsidRDefault="007E76D6" w:rsidP="006B0D8F">
            <w:pPr>
              <w:spacing w:line="245" w:lineRule="auto"/>
              <w:jc w:val="center"/>
              <w:rPr>
                <w:b/>
              </w:rPr>
            </w:pPr>
            <w:r w:rsidRPr="00DE387E">
              <w:rPr>
                <w:b/>
              </w:rPr>
              <w:t>Associated courses</w:t>
            </w:r>
            <w:r>
              <w:rPr>
                <w:b/>
              </w:rPr>
              <w:t xml:space="preserve"> (Selectives and/or Electives)</w:t>
            </w:r>
          </w:p>
        </w:tc>
      </w:tr>
      <w:tr w:rsidR="007E76D6" w14:paraId="63BEC4DC" w14:textId="77777777" w:rsidTr="007E76D6">
        <w:trPr>
          <w:trHeight w:val="1349"/>
        </w:trPr>
        <w:tc>
          <w:tcPr>
            <w:tcW w:w="10980" w:type="dxa"/>
            <w:gridSpan w:val="2"/>
          </w:tcPr>
          <w:p w14:paraId="34D8298D" w14:textId="77777777" w:rsidR="007E76D6" w:rsidRDefault="007E76D6" w:rsidP="006B0D8F">
            <w:pPr>
              <w:spacing w:line="245" w:lineRule="auto"/>
            </w:pPr>
          </w:p>
        </w:tc>
      </w:tr>
      <w:tr w:rsidR="007E76D6" w14:paraId="27EE624F" w14:textId="77777777" w:rsidTr="007E76D6">
        <w:trPr>
          <w:trHeight w:val="295"/>
        </w:trPr>
        <w:tc>
          <w:tcPr>
            <w:tcW w:w="10980" w:type="dxa"/>
            <w:gridSpan w:val="2"/>
            <w:shd w:val="clear" w:color="auto" w:fill="0D0D0D" w:themeFill="text1" w:themeFillTint="F2"/>
          </w:tcPr>
          <w:p w14:paraId="2893266E" w14:textId="1B386FA1" w:rsidR="007E76D6" w:rsidRDefault="007E76D6" w:rsidP="006B0D8F">
            <w:pPr>
              <w:spacing w:line="245" w:lineRule="auto"/>
              <w:jc w:val="center"/>
              <w:rPr>
                <w:b/>
                <w:color w:val="FFFFFF" w:themeColor="background1"/>
              </w:rPr>
            </w:pPr>
            <w:r w:rsidRPr="00CA181D">
              <w:rPr>
                <w:b/>
                <w:color w:val="FFFFFF" w:themeColor="background1"/>
              </w:rPr>
              <w:t xml:space="preserve">Description of </w:t>
            </w:r>
            <w:r w:rsidR="006B0D8F">
              <w:rPr>
                <w:b/>
                <w:color w:val="FFFFFF" w:themeColor="background1"/>
              </w:rPr>
              <w:t xml:space="preserve">Research Emphasis Area </w:t>
            </w:r>
            <w:r w:rsidRPr="00CA181D">
              <w:rPr>
                <w:b/>
                <w:color w:val="FFFFFF" w:themeColor="background1"/>
              </w:rPr>
              <w:t xml:space="preserve">events, including interval </w:t>
            </w:r>
          </w:p>
          <w:p w14:paraId="30362320" w14:textId="77777777" w:rsidR="007E76D6" w:rsidRPr="00CA181D" w:rsidRDefault="007E76D6" w:rsidP="006B0D8F">
            <w:pPr>
              <w:spacing w:line="245" w:lineRule="auto"/>
              <w:jc w:val="center"/>
              <w:rPr>
                <w:b/>
                <w:color w:val="FFFFFF" w:themeColor="background1"/>
              </w:rPr>
            </w:pPr>
            <w:r w:rsidRPr="00CA181D">
              <w:rPr>
                <w:b/>
                <w:color w:val="FFFFFF" w:themeColor="background1"/>
              </w:rPr>
              <w:t>(e.g. monthly seminar series, annual symposium</w:t>
            </w:r>
            <w:r>
              <w:rPr>
                <w:b/>
                <w:color w:val="FFFFFF" w:themeColor="background1"/>
              </w:rPr>
              <w:t>/retreat</w:t>
            </w:r>
            <w:r w:rsidRPr="00CA181D">
              <w:rPr>
                <w:b/>
                <w:color w:val="FFFFFF" w:themeColor="background1"/>
              </w:rPr>
              <w:t>, etc.)</w:t>
            </w:r>
          </w:p>
        </w:tc>
      </w:tr>
      <w:tr w:rsidR="007E76D6" w14:paraId="137C44C8" w14:textId="77777777" w:rsidTr="003E719A">
        <w:trPr>
          <w:trHeight w:val="3548"/>
        </w:trPr>
        <w:tc>
          <w:tcPr>
            <w:tcW w:w="10980" w:type="dxa"/>
            <w:gridSpan w:val="2"/>
          </w:tcPr>
          <w:p w14:paraId="7F3E48D0" w14:textId="77777777" w:rsidR="007E76D6" w:rsidRDefault="007E76D6" w:rsidP="006B0D8F">
            <w:pPr>
              <w:spacing w:line="245" w:lineRule="auto"/>
            </w:pPr>
          </w:p>
        </w:tc>
      </w:tr>
    </w:tbl>
    <w:p w14:paraId="216771D1" w14:textId="5F1F3367" w:rsidR="007E76D6" w:rsidRDefault="007E76D6" w:rsidP="006B0D8F">
      <w:pPr>
        <w:spacing w:line="245" w:lineRule="auto"/>
        <w:jc w:val="center"/>
        <w:rPr>
          <w:b/>
          <w:bCs/>
          <w:sz w:val="32"/>
          <w:szCs w:val="32"/>
        </w:rPr>
      </w:pPr>
      <w:r w:rsidRPr="00AF6988">
        <w:rPr>
          <w:b/>
          <w:bCs/>
          <w:sz w:val="32"/>
          <w:szCs w:val="32"/>
        </w:rPr>
        <w:t xml:space="preserve">Application for Bioscience Program </w:t>
      </w:r>
      <w:r w:rsidR="006B0D8F">
        <w:rPr>
          <w:b/>
          <w:bCs/>
          <w:sz w:val="32"/>
          <w:szCs w:val="32"/>
        </w:rPr>
        <w:t>Research Emphasis Areas</w:t>
      </w:r>
    </w:p>
    <w:p w14:paraId="18862B81" w14:textId="77777777" w:rsidR="007E76D6" w:rsidRDefault="007E76D6" w:rsidP="006B0D8F">
      <w:pPr>
        <w:spacing w:line="245" w:lineRule="auto"/>
        <w:jc w:val="center"/>
        <w:rPr>
          <w:bCs/>
          <w:sz w:val="32"/>
          <w:szCs w:val="32"/>
        </w:rPr>
      </w:pPr>
    </w:p>
    <w:p w14:paraId="63832566" w14:textId="5D4AF815" w:rsidR="00A2552B" w:rsidRDefault="007E76D6" w:rsidP="003E719A">
      <w:pPr>
        <w:spacing w:line="245" w:lineRule="auto"/>
      </w:pPr>
      <w:r w:rsidRPr="00AF6988">
        <w:rPr>
          <w:b/>
          <w:bCs/>
          <w:sz w:val="24"/>
          <w:szCs w:val="24"/>
        </w:rPr>
        <w:t xml:space="preserve">Please return form by email to: </w:t>
      </w:r>
      <w:r w:rsidR="00ED178A" w:rsidRPr="00ED178A">
        <w:rPr>
          <w:b/>
          <w:bCs/>
          <w:sz w:val="24"/>
          <w:szCs w:val="24"/>
        </w:rPr>
        <w:t>Charlie Murtaugh (</w:t>
      </w:r>
      <w:hyperlink r:id="rId8" w:history="1">
        <w:r w:rsidR="00ED178A" w:rsidRPr="00ED178A">
          <w:rPr>
            <w:rStyle w:val="Hyperlink"/>
            <w:b/>
            <w:bCs/>
            <w:sz w:val="24"/>
            <w:szCs w:val="24"/>
          </w:rPr>
          <w:t>murtaugh@genetics.utah.edu</w:t>
        </w:r>
      </w:hyperlink>
      <w:r w:rsidR="00ED178A" w:rsidRPr="00ED178A">
        <w:rPr>
          <w:b/>
          <w:bCs/>
          <w:sz w:val="24"/>
          <w:szCs w:val="24"/>
        </w:rPr>
        <w:t>) and</w:t>
      </w:r>
      <w:r w:rsidR="00ED178A">
        <w:rPr>
          <w:b/>
          <w:bCs/>
          <w:sz w:val="24"/>
          <w:szCs w:val="24"/>
        </w:rPr>
        <w:t>/or</w:t>
      </w:r>
      <w:r w:rsidR="00ED178A" w:rsidRPr="00ED178A">
        <w:rPr>
          <w:b/>
          <w:bCs/>
          <w:sz w:val="24"/>
          <w:szCs w:val="24"/>
        </w:rPr>
        <w:t xml:space="preserve"> Bethany Buck-Koehntop (</w:t>
      </w:r>
      <w:hyperlink r:id="rId9" w:history="1">
        <w:r w:rsidR="00ED178A" w:rsidRPr="00ED178A">
          <w:rPr>
            <w:rStyle w:val="Hyperlink"/>
            <w:b/>
            <w:bCs/>
            <w:sz w:val="24"/>
            <w:szCs w:val="24"/>
          </w:rPr>
          <w:t>koehntop@chem.utah.edu</w:t>
        </w:r>
      </w:hyperlink>
      <w:r w:rsidR="00ED178A" w:rsidRPr="00ED178A">
        <w:rPr>
          <w:b/>
          <w:bCs/>
          <w:sz w:val="24"/>
          <w:szCs w:val="24"/>
        </w:rPr>
        <w:t>)</w:t>
      </w:r>
      <w:r w:rsidR="006B0D8F" w:rsidRPr="00AF6988" w:rsidDel="006B0D8F">
        <w:rPr>
          <w:b/>
          <w:bCs/>
          <w:sz w:val="24"/>
          <w:szCs w:val="24"/>
        </w:rPr>
        <w:t xml:space="preserve"> </w:t>
      </w:r>
    </w:p>
    <w:sectPr w:rsidR="00A2552B" w:rsidSect="008E7D18"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15"/>
    <w:multiLevelType w:val="hybridMultilevel"/>
    <w:tmpl w:val="8EA8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7D"/>
    <w:rsid w:val="000333E9"/>
    <w:rsid w:val="00052A63"/>
    <w:rsid w:val="0006245C"/>
    <w:rsid w:val="00084948"/>
    <w:rsid w:val="000A2454"/>
    <w:rsid w:val="00111C7D"/>
    <w:rsid w:val="002920A2"/>
    <w:rsid w:val="002D0BB3"/>
    <w:rsid w:val="002F753C"/>
    <w:rsid w:val="0035769C"/>
    <w:rsid w:val="003873CF"/>
    <w:rsid w:val="003C03C9"/>
    <w:rsid w:val="003E719A"/>
    <w:rsid w:val="00621C9F"/>
    <w:rsid w:val="00642898"/>
    <w:rsid w:val="006B0D8F"/>
    <w:rsid w:val="00744710"/>
    <w:rsid w:val="007453FC"/>
    <w:rsid w:val="00754294"/>
    <w:rsid w:val="007B2948"/>
    <w:rsid w:val="007C242E"/>
    <w:rsid w:val="007D1D07"/>
    <w:rsid w:val="007E76D6"/>
    <w:rsid w:val="00821E74"/>
    <w:rsid w:val="008331C3"/>
    <w:rsid w:val="008E7D18"/>
    <w:rsid w:val="00901052"/>
    <w:rsid w:val="00913976"/>
    <w:rsid w:val="00931EB6"/>
    <w:rsid w:val="00937F13"/>
    <w:rsid w:val="00A038D3"/>
    <w:rsid w:val="00A2552B"/>
    <w:rsid w:val="00A42FB7"/>
    <w:rsid w:val="00A64059"/>
    <w:rsid w:val="00A8446B"/>
    <w:rsid w:val="00A863FB"/>
    <w:rsid w:val="00AB0ECE"/>
    <w:rsid w:val="00AE1D09"/>
    <w:rsid w:val="00B82EEA"/>
    <w:rsid w:val="00CF0321"/>
    <w:rsid w:val="00D37C7B"/>
    <w:rsid w:val="00DA01C7"/>
    <w:rsid w:val="00DF2E83"/>
    <w:rsid w:val="00E54F00"/>
    <w:rsid w:val="00E7435F"/>
    <w:rsid w:val="00ED178A"/>
    <w:rsid w:val="00F2537A"/>
    <w:rsid w:val="00F56FF0"/>
    <w:rsid w:val="00F84EE7"/>
    <w:rsid w:val="00FC53F4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0DB3"/>
  <w15:chartTrackingRefBased/>
  <w15:docId w15:val="{D34F958C-C7F5-4E47-9111-6185ED9F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5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5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5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0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taugh@genetics.utah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koehntop@chem.utah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rtaugh@genetics.utah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ehntop@chem.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50D5-2F36-460D-8008-7624B626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Murtaugh</dc:creator>
  <cp:keywords/>
  <dc:description/>
  <cp:lastModifiedBy>Charles Murtaugh</cp:lastModifiedBy>
  <cp:revision>4</cp:revision>
  <dcterms:created xsi:type="dcterms:W3CDTF">2021-11-10T16:22:00Z</dcterms:created>
  <dcterms:modified xsi:type="dcterms:W3CDTF">2021-11-10T16:32:00Z</dcterms:modified>
</cp:coreProperties>
</file>